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344D0" w:rsidRDefault="00D91D0B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MATRIZ DE RESPONSABILIZAÇÃO </w:t>
      </w:r>
    </w:p>
    <w:p w:rsidR="00E344D0" w:rsidRDefault="00E344D0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65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11715"/>
      </w:tblGrid>
      <w:tr w:rsidR="00E344D0"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344D0">
        <w:trPr>
          <w:trHeight w:val="232"/>
        </w:trPr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0"/>
        <w:tblW w:w="1458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11670"/>
      </w:tblGrid>
      <w:tr w:rsidR="00E344D0">
        <w:trPr>
          <w:trHeight w:val="787"/>
        </w:trPr>
        <w:tc>
          <w:tcPr>
            <w:tcW w:w="291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C219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670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44D0" w:rsidRDefault="00E344D0">
      <w:pPr>
        <w:rPr>
          <w:rFonts w:ascii="Rasa" w:eastAsia="Rasa" w:hAnsi="Rasa" w:cs="Rasa"/>
          <w:sz w:val="20"/>
          <w:szCs w:val="20"/>
        </w:rPr>
      </w:pPr>
    </w:p>
    <w:tbl>
      <w:tblPr>
        <w:tblStyle w:val="a1"/>
        <w:tblW w:w="146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635"/>
        <w:gridCol w:w="1740"/>
        <w:gridCol w:w="1500"/>
        <w:gridCol w:w="2490"/>
        <w:gridCol w:w="2925"/>
        <w:gridCol w:w="2190"/>
        <w:gridCol w:w="2120"/>
      </w:tblGrid>
      <w:tr w:rsidR="00E344D0">
        <w:trPr>
          <w:trHeight w:val="38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ACHADO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RESPONSÁVEL (IS)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PERIODO DE EXERCICIO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CONDUTA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NEXO DE CAUSALIDADE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(entre a conduta e o resultado ilícito)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CULPABILIDADE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SANÇÕES 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(SE CABÍVEIS) </w:t>
            </w:r>
          </w:p>
        </w:tc>
      </w:tr>
      <w:tr w:rsidR="00E344D0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Detalhar somente os achados que se constituem em falhas ou irregularidades passíveis de aplicação 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 sanção ou imputação de débito.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Indicar, além do nome, o cargo e o CPF do responsável.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855" w:rsidRDefault="00D91D0B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 sempre e para todos os responsáveis o período de exercício.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  <w:p w:rsid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237855" w:rsidRP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Objetiva</w:t>
            </w:r>
            <w:r w:rsidR="00B81251" w:rsidRP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buscar o responsável que efetivamente desempenhava as funções à época da ocorrência do achado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.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Com efeito,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sempre que possível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atentar para períodos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 outras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circunstâncias que afastam determinad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agente</w:t>
            </w:r>
          </w:p>
          <w:p w:rsidR="00E344D0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da linha de responsabilização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Identificar a ação ou a omissão, culposa ou dolosa praticada pelo responsável. 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ação, utilizar verbos no infinitivo, mencionar os documentos que comprovem a conduta adotada e indicar a conduta esperada.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omissão, indicar o que deveria ter sido feito.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Ao descrever a conduta deve se destacar quaisquer medidas tomadas por pessoas responsáveis, durante a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, para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reparar a perda, o mau uso ou desperdício gerados.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Evidenciar a relação de causa e efeito entre a conduta do responsável e o resultado ilícito.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(CONDUTA)...resultou…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(CONDUTA)...propiciou...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(CONDUTA)...possibilitou... (RESULTADO ILÍCITO) 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Sempre que for o caso, deve ser destacado no resultado do ilícito o valor da perda, do mau uso ou do desperdício gerado e o montante a ser ressarcido devido à responsabilidade pessoal.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EA7720">
              <w:rPr>
                <w:rFonts w:ascii="Arial" w:eastAsia="Arial" w:hAnsi="Arial" w:cs="Arial"/>
                <w:color w:val="FF0000"/>
                <w:sz w:val="18"/>
                <w:szCs w:val="18"/>
              </w:rPr>
              <w:t>A análise da culpabilidade não investiga a existência de culpa ou dolo, mas pretende avaliar a reprovabilidade da conduta do respon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sável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>valiar a reprovabilidade da conduta, trazendo resposta aos questionamentos propostos nas instruções de preenchimento da matriz.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6F4452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 existentes, d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evem ser destacados também os argumentos da administração sobre os 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atos de conformidade ou ilícitos.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Descrever as sugestões de sanções e seus respectivos fundamentos legais.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Caso a equipe de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avalie que o responsável está amparado por alguma excludente de ilicitude ou de culpabilidade, deve ser indicada qual, seguida do registro pela inaplicabilidade de sanção.</w:t>
            </w:r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2"/>
        <w:tblW w:w="14595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12330"/>
      </w:tblGrid>
      <w:tr w:rsidR="00E344D0">
        <w:tc>
          <w:tcPr>
            <w:tcW w:w="2265" w:type="dxa"/>
            <w:shd w:val="clear" w:color="auto" w:fill="CCCCCC"/>
          </w:tcPr>
          <w:p w:rsidR="00E344D0" w:rsidRDefault="00D91D0B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330" w:type="dxa"/>
            <w:shd w:val="clear" w:color="auto" w:fill="auto"/>
          </w:tcPr>
          <w:p w:rsidR="00E344D0" w:rsidRDefault="00E344D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44D0">
        <w:tc>
          <w:tcPr>
            <w:tcW w:w="14595" w:type="dxa"/>
            <w:gridSpan w:val="2"/>
            <w:shd w:val="clear" w:color="auto" w:fill="auto"/>
          </w:tcPr>
          <w:p w:rsidR="00E344D0" w:rsidRDefault="00D91D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344D0" w:rsidRDefault="00D91D0B">
      <w:pPr>
        <w:jc w:val="both"/>
        <w:rPr>
          <w:rFonts w:ascii="Arial" w:eastAsia="Arial" w:hAnsi="Arial" w:cs="Arial"/>
          <w:b/>
          <w:color w:val="1C4587"/>
          <w:sz w:val="20"/>
          <w:szCs w:val="20"/>
        </w:rPr>
        <w:sectPr w:rsidR="00E344D0">
          <w:headerReference w:type="default" r:id="rId8"/>
          <w:footerReference w:type="default" r:id="rId9"/>
          <w:pgSz w:w="16837" w:h="11905" w:orient="landscape"/>
          <w:pgMar w:top="1701" w:right="1134" w:bottom="1134" w:left="1701" w:header="709" w:footer="709" w:gutter="0"/>
          <w:pgNumType w:start="1"/>
          <w:cols w:space="720"/>
        </w:sectPr>
      </w:pPr>
      <w:r>
        <w:br w:type="page"/>
      </w:r>
    </w:p>
    <w:p w:rsidR="00E344D0" w:rsidRDefault="00D91D0B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Responsabilização</w:t>
      </w:r>
    </w:p>
    <w:p w:rsidR="00E344D0" w:rsidRDefault="00E344D0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3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E344D0">
        <w:trPr>
          <w:trHeight w:val="72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o registro 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conclusão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da equipe de fiscalização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quanto a existência de responsabilidade pessoal e subjetiva do agente que praticou conduta relacionada ao achado identificado. A Matriz de Responsabilização deve ser preenchida durante a fase de execução da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posterior ao registro dos achados.</w:t>
            </w:r>
          </w:p>
        </w:tc>
      </w:tr>
      <w:tr w:rsidR="00E344D0">
        <w:trPr>
          <w:trHeight w:val="734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1251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12/25;</w:t>
            </w:r>
          </w:p>
          <w:p w:rsidR="00E344D0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50/1.1.1-1.1.4; 3.1;3.4;4.4</w:t>
            </w:r>
          </w:p>
        </w:tc>
      </w:tr>
      <w:tr w:rsidR="00E344D0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responsabilidade pessoal pode ser medida pela extensão da participação da pessoa em uma transação não conforme (ilegal, desnecessária, excessiva, extravagante, desmedida), conforme indicado nos documentos de transações que ela assinou.</w:t>
            </w:r>
          </w:p>
          <w:p w:rsidR="00E344D0" w:rsidRDefault="00C21941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fiscalização</w:t>
            </w:r>
            <w:r w:rsidR="00D91D0B">
              <w:rPr>
                <w:rFonts w:ascii="Arial" w:eastAsia="Arial" w:hAnsi="Arial" w:cs="Arial"/>
                <w:sz w:val="18"/>
                <w:szCs w:val="18"/>
              </w:rPr>
              <w:t xml:space="preserve"> deve realizar procedimentos para obter evidência suficiente e apropriada quanto à responsabilidade do agente público que pode ser responsabilizado por atos de não conformidade ou por atos ilícitos.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julgamento profissional para determinar se o agente público é ou não pessoalmente responsável por atos de não conformidade pode incluir: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a) uma avaliação da forma como as responsabilidades mencionadas pela lei ou incluídas na descrição do cargo do agente público foram realizadas;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b) determinar se o ato de não conformidade ou ilegal do agente público causou perda identificada, mau uso ou desperdício de fundos ou bens públicos;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c) uma avaliação das possíveis circunstâncias excludentes de responsabilização, como as de ilicitude ou de culpabilidade (exemplos: artigos 20 a 26 do Código Penal; artigo 196 e seguintes da Lei estadual n° 20.756, de 28 de janeiro de 2020 e artigos 22 e 20 da Lei de Introdução às Normas do Direito Brasileiro-LINDB).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No relatório,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a equipe de fiscalização deve </w:t>
            </w:r>
            <w:r>
              <w:rPr>
                <w:rFonts w:ascii="Arial" w:eastAsia="Arial" w:hAnsi="Arial" w:cs="Arial"/>
                <w:sz w:val="18"/>
                <w:szCs w:val="18"/>
              </w:rPr>
              <w:t>explicar os métodos aplicados para determinar se cada pessoa responsável envolvida na administração, gerenciamento, uso ou controle de recursos ou bens públicos é ou não responsável pelos atos de não conformidade.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Caso não tenha sido identificada responsabilidade pessoal do gestor pelos atos de não conformidade, este papel de trabalho pode ser dispensado.</w:t>
            </w:r>
          </w:p>
          <w:p w:rsidR="00777554" w:rsidRDefault="00777554" w:rsidP="00777554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análise 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culpabilidade deve</w:t>
            </w:r>
            <w:r>
              <w:rPr>
                <w:rFonts w:ascii="Arial" w:eastAsia="Arial" w:hAnsi="Arial" w:cs="Arial"/>
                <w:sz w:val="18"/>
                <w:szCs w:val="18"/>
              </w:rPr>
              <w:t>-se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 xml:space="preserve"> levar em conta os seguintes questionamentos: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Houve boa-fé do responsável?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Não é possível afirmar que houve boa-fé do responsável.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O responsável praticou o ato após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responsável praticou o ato sem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da ilicitude do ato que praticara?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 ilicitude do ato que praticara.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Era razoável exigir da responsável conduta diversa daquela que ele adotou, consideradas as circunstâncias que o cercavam? Caso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afirmativo, qual seria essa conduta?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 xml:space="preserve">É razoável afirmar que era exigível </w:t>
            </w:r>
            <w:proofErr w:type="gramStart"/>
            <w:r w:rsidRPr="00EA7720">
              <w:rPr>
                <w:rFonts w:ascii="Arial" w:eastAsia="Arial" w:hAnsi="Arial" w:cs="Arial"/>
                <w:sz w:val="18"/>
                <w:szCs w:val="18"/>
              </w:rPr>
              <w:t>do responsável conduta divers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daquela que ele adotou, consideradas as circunstâncias que 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cercavam, pois (citar a conduta diversa.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Sugere-se o uso 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a seguinte expressão: “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everia o responsável 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feito isso em vez de ter feito aquilo”).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avaliação da reprovabilidade da conduta e na mensuração da responsabilidade pelos achados, podem auxiliar na elaboração da opinião técnica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a resposta aos seguintes itens:  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individualização das condutas das pessoas responsáveis e suas explicações sobre seus atos de não conformidade e/ou possíveis atos ilícitos, quando apropriado;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valor da perda, do mau uso ou do desperdício gerado e o montante a ser ressarcido devido à responsabilidade pessoal;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Quaisquer medidas tomadas por pessoas responsáveis, antes ou durante 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para reparar a perda, o mau uso ou desperdício gerados;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argumentos da administração sobre os atos de conformidade ou ilícitos;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obstáculos e as dificuldades reais do gestor e as exigências das políticas públicas a seu cargo, bem como as circunstâncias práticas que houverem imposto, limitado ou condicionado a ação do agente (art. 22, caput e §1º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a gravidade da infração cometida, os danos que dela provierem para a administração pública, as circunstâncias agravantes ou atenuantes e os antecedentes do agente (art. 22, §2º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extensão das sanções legalmente previstas para o caso.</w:t>
            </w:r>
          </w:p>
        </w:tc>
      </w:tr>
      <w:tr w:rsidR="00E344D0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precisam verificar se foram considerados de maneira adequada todos os itens propostos na matriz de responsabilização.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Materiais de apoio e consulta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perante o Tribunal de Contas: </w:t>
            </w:r>
            <w:hyperlink r:id="rId10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https://tcers.tc.br/repo/orientacoes_gestores/RESPONSABILIZACAO-AGENTES.pdf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Segundo a Jurisprudência do TCU – Uma abordagem a partir de Licitações e Contratos. Aula 5 - Matriz de responsabilização - </w:t>
            </w:r>
            <w:hyperlink r:id="rId11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https://portal.tcu.gov.br/biblioteca-digital/responsabilizacao-de-agentes-segundo-a-jurisprudencia-do-tcu-uma-abordagem-a-partir-de-licitacoes-e-contratos-aulas-1-a-5.htm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Da responsabilização do agente  e a desconsideração da personalidade jurídica no âmbito dos Tribunais de Contas - </w:t>
            </w:r>
            <w:hyperlink r:id="rId12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https://revista.tce.mg.gov.br/revista/index.php/TCEMG/article/view/563/535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competência sancionadora dos Tribunais de Contas e o princípio da reserva legal - </w:t>
            </w:r>
            <w:hyperlink r:id="rId13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https://www.conjur.com.br/2023-jan-10/viana-melo-competencia-sancionadora-tribunais-contas/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artigo 71 da Constituição da República comentado pelo Supremo Tribunal Federal - </w:t>
            </w:r>
            <w:hyperlink r:id="rId14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https://portal.stf.jus.br/constituicao-supremo/artigo.asp?abrirBase=CF&amp;abrirArtigo=71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E344D0" w:rsidRDefault="00E344D0">
      <w:pPr>
        <w:jc w:val="both"/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</w:p>
    <w:sectPr w:rsidR="00E344D0">
      <w:pgSz w:w="11905" w:h="16837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26" w:rsidRDefault="00D91D0B">
      <w:r>
        <w:separator/>
      </w:r>
    </w:p>
  </w:endnote>
  <w:endnote w:type="continuationSeparator" w:id="0">
    <w:p w:rsidR="00F06D26" w:rsidRDefault="00D9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D91D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21941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E344D0" w:rsidRDefault="00E344D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26" w:rsidRDefault="00D91D0B">
      <w:r>
        <w:separator/>
      </w:r>
    </w:p>
  </w:footnote>
  <w:footnote w:type="continuationSeparator" w:id="0">
    <w:p w:rsidR="00F06D26" w:rsidRDefault="00D91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344D0">
      <w:trPr>
        <w:trHeight w:val="1418"/>
        <w:jc w:val="center"/>
      </w:trPr>
      <w:tc>
        <w:tcPr>
          <w:tcW w:w="3000" w:type="dxa"/>
          <w:vAlign w:val="center"/>
        </w:tcPr>
        <w:p w:rsidR="00E344D0" w:rsidRDefault="00D91D0B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0" w:name="_heading=h.gjdgxs" w:colFirst="0" w:colLast="0"/>
          <w:bookmarkEnd w:id="0"/>
          <w:r>
            <w:rPr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D4D5D"/>
    <w:multiLevelType w:val="multilevel"/>
    <w:tmpl w:val="7DCEE8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E9C28CA"/>
    <w:multiLevelType w:val="multilevel"/>
    <w:tmpl w:val="21565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4D0"/>
    <w:rsid w:val="00237855"/>
    <w:rsid w:val="003625AD"/>
    <w:rsid w:val="006F4452"/>
    <w:rsid w:val="00777554"/>
    <w:rsid w:val="00946D7B"/>
    <w:rsid w:val="00B81251"/>
    <w:rsid w:val="00C21941"/>
    <w:rsid w:val="00D91D0B"/>
    <w:rsid w:val="00E344D0"/>
    <w:rsid w:val="00EA7720"/>
    <w:rsid w:val="00F0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03D5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3679C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7293D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uiPriority w:val="99"/>
    <w:rsid w:val="00120AC1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625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25AD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25AD"/>
    <w:rPr>
      <w:rFonts w:eastAsia="Lucida Sans Unicode" w:cs="Mangal"/>
      <w:kern w:val="1"/>
      <w:sz w:val="20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25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25AD"/>
    <w:rPr>
      <w:rFonts w:eastAsia="Lucida Sans Unicode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onjur.com.br/2023-jan-10/viana-melo-competencia-sancionadora-tribunais-cont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vista.tce.mg.gov.br/revista/index.php/TCEMG/article/view/563/5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tcu.gov.br/biblioteca-digital/responsabilizacao-de-agentes-segundo-a-jurisprudencia-do-tcu-uma-abordagem-a-partir-de-licitacoes-e-contratos-aulas-1-a-5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cers.tc.br/repo/orientacoes_gestores/RESPONSABILIZACAO-AGENTES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ortal.stf.jus.br/constituicao-supremo/artigo.asp?abrirBase=CF&amp;abrirArtigo=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n/uKz4tj8Vj+JBWaDvHKlNaClQ==">CgMxLjAyCGguZ2pkZ3hzMghoLmdqZGd4czgAciExOTBKUDNLR24xRG8wMTFSanJBbndKbFUxRzQ5dE9FdWM=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1365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Secretaria de Controle Externo</cp:lastModifiedBy>
  <cp:revision>5</cp:revision>
  <dcterms:created xsi:type="dcterms:W3CDTF">2024-02-28T19:10:00Z</dcterms:created>
  <dcterms:modified xsi:type="dcterms:W3CDTF">2024-04-25T19:55:00Z</dcterms:modified>
</cp:coreProperties>
</file>