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F9B" w:rsidRDefault="002B2F9B">
      <w:pPr>
        <w:spacing w:after="23" w:line="259" w:lineRule="auto"/>
        <w:ind w:left="521" w:firstLine="1418"/>
        <w:jc w:val="left"/>
        <w:rPr>
          <w:b/>
        </w:rPr>
      </w:pPr>
    </w:p>
    <w:p w:rsidR="002B2F9B" w:rsidRDefault="00071F89">
      <w:pPr>
        <w:spacing w:after="23" w:line="259" w:lineRule="auto"/>
        <w:ind w:left="521" w:firstLine="1418"/>
        <w:jc w:val="left"/>
        <w:rPr>
          <w:b/>
        </w:rPr>
      </w:pPr>
      <w:r>
        <w:rPr>
          <w:b/>
        </w:rPr>
        <w:t xml:space="preserve">PORTARIA Nº &lt;@Indicador=Número do Documento&gt; - SEC-CEXTERNO </w:t>
      </w:r>
    </w:p>
    <w:p w:rsidR="002B2F9B" w:rsidRDefault="002B2F9B">
      <w:pPr>
        <w:spacing w:after="23" w:line="259" w:lineRule="auto"/>
        <w:ind w:left="521" w:firstLine="1418"/>
        <w:jc w:val="left"/>
      </w:pPr>
    </w:p>
    <w:p w:rsidR="002B2F9B" w:rsidRDefault="00071F89">
      <w:pPr>
        <w:spacing w:after="26" w:line="268" w:lineRule="auto"/>
        <w:ind w:left="5382" w:right="53" w:firstLine="0"/>
      </w:pPr>
      <w:r>
        <w:rPr>
          <w:sz w:val="20"/>
          <w:szCs w:val="20"/>
        </w:rPr>
        <w:t xml:space="preserve">Designa equipe de fiscalização para realização de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, junto à </w:t>
      </w:r>
      <w:r>
        <w:rPr>
          <w:color w:val="FF0000"/>
          <w:sz w:val="20"/>
          <w:szCs w:val="20"/>
        </w:rPr>
        <w:t>XXXXX – XXXXX</w:t>
      </w:r>
      <w:r>
        <w:rPr>
          <w:sz w:val="20"/>
          <w:szCs w:val="20"/>
        </w:rPr>
        <w:t xml:space="preserve">, no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. </w:t>
      </w:r>
    </w:p>
    <w:p w:rsidR="002B2F9B" w:rsidRDefault="00071F89">
      <w:pPr>
        <w:spacing w:after="16" w:line="259" w:lineRule="auto"/>
        <w:ind w:left="4236" w:firstLine="0"/>
        <w:jc w:val="center"/>
      </w:pPr>
      <w:r>
        <w:t xml:space="preserve"> </w:t>
      </w:r>
    </w:p>
    <w:p w:rsidR="002B2F9B" w:rsidRDefault="00071F89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O SECRETÁRIO DE CONTROLE EXTERNO, no uso de suas atribuições </w:t>
      </w:r>
    </w:p>
    <w:p w:rsidR="002B2F9B" w:rsidRDefault="00071F89">
      <w:pPr>
        <w:ind w:left="-5" w:right="49" w:firstLine="1418"/>
      </w:pPr>
      <w:r>
        <w:t xml:space="preserve">conferidas pela </w:t>
      </w:r>
      <w:hyperlink r:id="rId7">
        <w:r>
          <w:rPr>
            <w:color w:val="0563C1"/>
            <w:u w:val="single"/>
          </w:rPr>
          <w:t>Portaria nº 102/2023 – GPRES</w:t>
        </w:r>
      </w:hyperlink>
      <w:hyperlink r:id="rId8">
        <w:r>
          <w:t>,</w:t>
        </w:r>
      </w:hyperlink>
      <w:r>
        <w:t xml:space="preserve"> de 18 de janeiro de 2023,</w:t>
      </w:r>
    </w:p>
    <w:p w:rsidR="002B2F9B" w:rsidRDefault="00071F89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 xml:space="preserve"> </w:t>
      </w:r>
      <w:r>
        <w:tab/>
      </w:r>
      <w:r>
        <w:tab/>
        <w:t xml:space="preserve">CONSIDERANDO o disposto no art. 248 do </w:t>
      </w:r>
      <w:hyperlink r:id="rId9">
        <w:r>
          <w:rPr>
            <w:color w:val="0563C1"/>
            <w:u w:val="single"/>
          </w:rPr>
          <w:t>Regimento Interno do Tribunal de Contas do Estado de Goiás</w:t>
        </w:r>
      </w:hyperlink>
      <w:r>
        <w:t>, aprovado pela Resolução nº 22, de 4 de setembro de 2008;</w:t>
      </w:r>
      <w:hyperlink r:id="rId10">
        <w:r>
          <w:t xml:space="preserve"> </w:t>
        </w:r>
      </w:hyperlink>
    </w:p>
    <w:p w:rsidR="002B2F9B" w:rsidRDefault="00071F89">
      <w:pPr>
        <w:ind w:left="-5" w:right="49" w:firstLine="5"/>
      </w:pPr>
      <w:r>
        <w:t xml:space="preserve"> </w:t>
      </w:r>
      <w:r>
        <w:tab/>
      </w:r>
      <w:r>
        <w:tab/>
        <w:t xml:space="preserve">CONSIDERANDO a </w:t>
      </w:r>
      <w:hyperlink r:id="rId11">
        <w:r>
          <w:rPr>
            <w:color w:val="0563C1"/>
            <w:u w:val="single"/>
          </w:rPr>
          <w:t>Resolução Administrativa nº 13, de 14 de setembro</w:t>
        </w:r>
      </w:hyperlink>
      <w:hyperlink r:id="rId12">
        <w:r>
          <w:rPr>
            <w:color w:val="0563C1"/>
          </w:rPr>
          <w:t xml:space="preserve"> </w:t>
        </w:r>
      </w:hyperlink>
      <w:hyperlink r:id="rId13">
        <w:r>
          <w:rPr>
            <w:color w:val="0563C1"/>
            <w:u w:val="single"/>
          </w:rPr>
          <w:t>de 2023</w:t>
        </w:r>
      </w:hyperlink>
      <w:hyperlink r:id="rId14">
        <w:r>
          <w:t>,</w:t>
        </w:r>
      </w:hyperlink>
      <w:r>
        <w:t xml:space="preserve"> que instituiu o Sistema de Qualidade das Fiscalizações – </w:t>
      </w:r>
      <w:proofErr w:type="spellStart"/>
      <w:r>
        <w:t>SiQ</w:t>
      </w:r>
      <w:proofErr w:type="spellEnd"/>
      <w:r>
        <w:t xml:space="preserve"> no âmbito da Secretaria de Controle Externo deste Tribunal;</w:t>
      </w:r>
    </w:p>
    <w:p w:rsidR="002B2F9B" w:rsidRDefault="00071F89">
      <w:pPr>
        <w:spacing w:line="268" w:lineRule="auto"/>
        <w:ind w:left="0" w:right="51" w:firstLine="1418"/>
      </w:pPr>
      <w:r>
        <w:t xml:space="preserve"> </w:t>
      </w:r>
      <w:r>
        <w:tab/>
      </w:r>
      <w:r>
        <w:tab/>
        <w:t xml:space="preserve">CONSIDERANDO o Despacho nº </w:t>
      </w:r>
      <w:r>
        <w:rPr>
          <w:color w:val="FF0000"/>
        </w:rPr>
        <w:t>XXX</w:t>
      </w:r>
      <w:r>
        <w:t>/20</w:t>
      </w:r>
      <w:r>
        <w:rPr>
          <w:color w:val="FF0000"/>
        </w:rPr>
        <w:t>XX</w:t>
      </w:r>
      <w:r>
        <w:t xml:space="preserve"> – GC</w:t>
      </w:r>
      <w:r>
        <w:rPr>
          <w:color w:val="FF0000"/>
        </w:rPr>
        <w:t>XX</w:t>
      </w:r>
      <w:r>
        <w:t xml:space="preserve"> expedido pelo Conselheiro Relator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t xml:space="preserve">, nos autos </w:t>
      </w:r>
      <w:r>
        <w:rPr>
          <w:color w:val="FF0000"/>
        </w:rPr>
        <w:t>XXXXX</w:t>
      </w:r>
      <w:r>
        <w:t>;</w:t>
      </w:r>
    </w:p>
    <w:p w:rsidR="002B2F9B" w:rsidRDefault="00071F89">
      <w:pPr>
        <w:ind w:left="-5" w:right="49" w:firstLine="5"/>
      </w:pPr>
      <w:r>
        <w:t xml:space="preserve"> </w:t>
      </w:r>
      <w:r>
        <w:tab/>
      </w:r>
      <w:r>
        <w:tab/>
        <w:t>CONSIDERANDO as competências profissionais necessárias para realizar a fiscalização,</w:t>
      </w:r>
    </w:p>
    <w:p w:rsidR="002B2F9B" w:rsidRDefault="00071F89">
      <w:pPr>
        <w:spacing w:after="33" w:line="259" w:lineRule="auto"/>
        <w:ind w:left="0" w:firstLine="0"/>
        <w:jc w:val="left"/>
      </w:pPr>
      <w:r>
        <w:t xml:space="preserve"> </w:t>
      </w:r>
    </w:p>
    <w:p w:rsidR="002B2F9B" w:rsidRDefault="00071F89">
      <w:pPr>
        <w:tabs>
          <w:tab w:val="center" w:pos="708"/>
          <w:tab w:val="center" w:pos="1978"/>
        </w:tabs>
        <w:spacing w:after="23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RESOLVE: </w:t>
      </w:r>
    </w:p>
    <w:p w:rsidR="002B2F9B" w:rsidRDefault="00071F89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2B2F9B" w:rsidRDefault="00071F89">
      <w:pPr>
        <w:spacing w:line="268" w:lineRule="auto"/>
        <w:ind w:left="0" w:right="51" w:firstLine="21"/>
      </w:pPr>
      <w:r>
        <w:t xml:space="preserve"> </w:t>
      </w:r>
      <w:r>
        <w:tab/>
      </w:r>
      <w:r>
        <w:tab/>
        <w:t xml:space="preserve">Art.1º Designar os servidores </w:t>
      </w:r>
      <w:r>
        <w:rPr>
          <w:b/>
          <w:color w:val="FF0000"/>
        </w:rPr>
        <w:t>XXXXX</w:t>
      </w:r>
      <w:r>
        <w:t xml:space="preserve"> e </w:t>
      </w:r>
      <w:r>
        <w:rPr>
          <w:b/>
          <w:color w:val="FF0000"/>
        </w:rPr>
        <w:t>XXXXX</w:t>
      </w:r>
      <w:r>
        <w:t xml:space="preserve">, sob a </w:t>
      </w:r>
      <w:r>
        <w:rPr>
          <w:b/>
        </w:rPr>
        <w:t>coordenação</w:t>
      </w:r>
      <w:r>
        <w:t xml:space="preserve"> de </w:t>
      </w:r>
      <w:r>
        <w:rPr>
          <w:b/>
          <w:color w:val="FF0000"/>
        </w:rPr>
        <w:t>XXXXX</w:t>
      </w:r>
      <w:r>
        <w:t xml:space="preserve">, para comporem </w:t>
      </w:r>
      <w:r>
        <w:rPr>
          <w:b/>
        </w:rPr>
        <w:t>equipe de fiscalização</w:t>
      </w:r>
      <w:r>
        <w:t xml:space="preserve"> que realizará </w:t>
      </w:r>
      <w:r w:rsidR="00C26346">
        <w:rPr>
          <w:color w:val="auto"/>
        </w:rPr>
        <w:t>INSPEÇÃO</w:t>
      </w:r>
      <w:r>
        <w:t xml:space="preserve">, junto à </w:t>
      </w:r>
      <w:r>
        <w:rPr>
          <w:color w:val="FF0000"/>
        </w:rPr>
        <w:t>XXXXX – XXXXX</w:t>
      </w:r>
      <w:r>
        <w:t xml:space="preserve">, com o objetivo de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XXXXX</w:t>
      </w:r>
      <w:proofErr w:type="spellEnd"/>
      <w:r>
        <w:t xml:space="preserve">. </w:t>
      </w:r>
    </w:p>
    <w:p w:rsidR="002B2F9B" w:rsidRDefault="00071F89">
      <w:pPr>
        <w:spacing w:after="19"/>
        <w:ind w:left="1402" w:hanging="1397"/>
      </w:pPr>
      <w:r>
        <w:t xml:space="preserve"> </w:t>
      </w:r>
    </w:p>
    <w:p w:rsidR="002B2F9B" w:rsidRDefault="00071F89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2º Estabelecer a data de </w:t>
      </w:r>
      <w:r>
        <w:rPr>
          <w:b/>
          <w:color w:val="FF0000"/>
        </w:rPr>
        <w:t>XX/XX/20XX</w:t>
      </w:r>
      <w:r>
        <w:t xml:space="preserve"> para entrega do Relatório final de fiscalização pela equipe designada no art. 1º desta Portaria. </w:t>
      </w:r>
    </w:p>
    <w:p w:rsidR="002B2F9B" w:rsidRDefault="00071F89">
      <w:pPr>
        <w:spacing w:after="22"/>
        <w:ind w:left="1402" w:hanging="1397"/>
      </w:pPr>
      <w:r>
        <w:t xml:space="preserve"> </w:t>
      </w:r>
      <w:bookmarkStart w:id="0" w:name="_GoBack"/>
      <w:bookmarkEnd w:id="0"/>
    </w:p>
    <w:p w:rsidR="002B2F9B" w:rsidRDefault="00071F89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3º A fiscalização a que se refere o art. 1º desta Portaria contará com a </w:t>
      </w:r>
      <w:r>
        <w:rPr>
          <w:b/>
        </w:rPr>
        <w:t>supervisão</w:t>
      </w:r>
      <w:r>
        <w:t xml:space="preserve"> </w:t>
      </w:r>
      <w:r>
        <w:rPr>
          <w:color w:val="FF0000"/>
        </w:rPr>
        <w:t xml:space="preserve">do(a) servidor(a) </w:t>
      </w:r>
      <w:r>
        <w:rPr>
          <w:b/>
          <w:color w:val="FF0000"/>
        </w:rPr>
        <w:t xml:space="preserve">XXXXX </w:t>
      </w:r>
      <w:proofErr w:type="spellStart"/>
      <w:r>
        <w:rPr>
          <w:b/>
          <w:color w:val="FF0000"/>
        </w:rPr>
        <w:t>XXXXX</w:t>
      </w:r>
      <w:proofErr w:type="spellEnd"/>
      <w:r>
        <w:t xml:space="preserve"> e a assessoria </w:t>
      </w:r>
      <w:r>
        <w:rPr>
          <w:color w:val="FF0000"/>
        </w:rPr>
        <w:t>do(a) servidor(a)</w:t>
      </w:r>
      <w:r w:rsidR="00C26346" w:rsidRPr="00C26346">
        <w:rPr>
          <w:color w:val="auto"/>
        </w:rPr>
        <w:t>.</w:t>
      </w:r>
    </w:p>
    <w:p w:rsidR="002B2F9B" w:rsidRDefault="00071F89">
      <w:pPr>
        <w:spacing w:after="19"/>
        <w:ind w:left="1402" w:hanging="1397"/>
      </w:pPr>
      <w:r>
        <w:t xml:space="preserve"> </w:t>
      </w:r>
    </w:p>
    <w:p w:rsidR="002B2F9B" w:rsidRDefault="00071F89">
      <w:pPr>
        <w:spacing w:line="268" w:lineRule="auto"/>
        <w:ind w:left="0" w:right="51" w:firstLine="0"/>
      </w:pPr>
      <w:r>
        <w:t xml:space="preserve"> </w:t>
      </w:r>
      <w:r>
        <w:tab/>
      </w:r>
      <w:r>
        <w:tab/>
        <w:t xml:space="preserve">Art. 4º Quaisquer fatos que possam ensejar a alteração dos termos desta Portaria deverão ser informados à Secretaria de Controle Externo para avaliação e providências. </w:t>
      </w:r>
    </w:p>
    <w:p w:rsidR="002B2F9B" w:rsidRDefault="002B2F9B">
      <w:pPr>
        <w:spacing w:line="268" w:lineRule="auto"/>
        <w:ind w:left="0" w:right="51" w:firstLine="0"/>
      </w:pPr>
    </w:p>
    <w:p w:rsidR="002B2F9B" w:rsidRDefault="00071F89">
      <w:pPr>
        <w:tabs>
          <w:tab w:val="center" w:pos="1402"/>
          <w:tab w:val="center" w:pos="2110"/>
          <w:tab w:val="left" w:pos="2835"/>
          <w:tab w:val="center" w:pos="5867"/>
        </w:tabs>
        <w:spacing w:line="268" w:lineRule="auto"/>
        <w:ind w:left="0" w:firstLine="0"/>
      </w:pPr>
      <w:r>
        <w:tab/>
      </w:r>
      <w:r>
        <w:tab/>
        <w:t xml:space="preserve">Art. 5º Esta Portaria entra em vigor na data de sua publicação. </w:t>
      </w:r>
    </w:p>
    <w:p w:rsidR="002B2F9B" w:rsidRDefault="002B2F9B">
      <w:pPr>
        <w:spacing w:after="33" w:line="259" w:lineRule="auto"/>
        <w:ind w:left="0" w:firstLine="0"/>
        <w:jc w:val="left"/>
      </w:pPr>
    </w:p>
    <w:p w:rsidR="002B2F9B" w:rsidRDefault="00071F89">
      <w:pPr>
        <w:tabs>
          <w:tab w:val="center" w:pos="708"/>
          <w:tab w:val="center" w:pos="3000"/>
        </w:tabs>
        <w:spacing w:after="23" w:line="259" w:lineRule="auto"/>
        <w:ind w:left="-15" w:firstLine="0"/>
        <w:jc w:val="left"/>
      </w:pPr>
      <w:bookmarkStart w:id="1" w:name="_heading=h.gjdgxs" w:colFirst="0" w:colLast="0"/>
      <w:bookmarkEnd w:id="1"/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CUMPRA-SE E PUBLIQUE-SE. </w:t>
      </w:r>
    </w:p>
    <w:p w:rsidR="002B2F9B" w:rsidRDefault="00071F89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2B2F9B" w:rsidRDefault="00071F89">
      <w:pPr>
        <w:tabs>
          <w:tab w:val="center" w:pos="704"/>
          <w:tab w:val="right" w:pos="857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SECRETARIA DE CONTROLE EXTERNO DO TRIBUNAL DE CONTAS </w:t>
      </w:r>
    </w:p>
    <w:p w:rsidR="002B2F9B" w:rsidRDefault="00071F89">
      <w:pPr>
        <w:ind w:left="-5" w:right="49" w:firstLine="5"/>
      </w:pPr>
      <w:r>
        <w:t xml:space="preserve">Do ESTADO DE GOIÁS em Goiânia aos </w:t>
      </w:r>
      <w:r>
        <w:rPr>
          <w:color w:val="FF0000"/>
        </w:rPr>
        <w:t>XX</w:t>
      </w:r>
      <w:r>
        <w:t xml:space="preserve"> de </w:t>
      </w:r>
      <w:r>
        <w:rPr>
          <w:color w:val="FF0000"/>
        </w:rPr>
        <w:t>XXXXX</w:t>
      </w:r>
      <w:r>
        <w:t xml:space="preserve"> de </w:t>
      </w:r>
      <w:r>
        <w:rPr>
          <w:color w:val="FF0000"/>
        </w:rPr>
        <w:t>20XX</w:t>
      </w:r>
      <w:r>
        <w:t xml:space="preserve">.  </w:t>
      </w:r>
    </w:p>
    <w:p w:rsidR="002B2F9B" w:rsidRDefault="00071F89">
      <w:pPr>
        <w:spacing w:after="19" w:line="259" w:lineRule="auto"/>
        <w:ind w:left="0" w:firstLine="0"/>
        <w:jc w:val="left"/>
      </w:pPr>
      <w:r>
        <w:t xml:space="preserve"> </w:t>
      </w:r>
    </w:p>
    <w:p w:rsidR="002B2F9B" w:rsidRDefault="00071F89">
      <w:pPr>
        <w:pStyle w:val="Ttulo1"/>
        <w:spacing w:after="14"/>
        <w:ind w:left="0" w:right="65" w:firstLine="0"/>
        <w:jc w:val="center"/>
      </w:pPr>
      <w:r>
        <w:rPr>
          <w:sz w:val="22"/>
        </w:rPr>
        <w:t xml:space="preserve">SERVIO TULIO TEIXEIRA E SILVA </w:t>
      </w:r>
    </w:p>
    <w:p w:rsidR="002B2F9B" w:rsidRDefault="00071F89">
      <w:pPr>
        <w:spacing w:after="23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SECRETÁRIO DE CONTROLE EXTERNO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sectPr w:rsidR="002B2F9B">
      <w:headerReference w:type="default" r:id="rId15"/>
      <w:footerReference w:type="default" r:id="rId16"/>
      <w:pgSz w:w="11906" w:h="16838"/>
      <w:pgMar w:top="1440" w:right="1633" w:bottom="709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B90" w:rsidRDefault="00071F89">
      <w:pPr>
        <w:spacing w:after="0" w:line="240" w:lineRule="auto"/>
      </w:pPr>
      <w:r>
        <w:separator/>
      </w:r>
    </w:p>
  </w:endnote>
  <w:endnote w:type="continuationSeparator" w:id="0">
    <w:p w:rsidR="00487B90" w:rsidRDefault="0007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F9B" w:rsidRDefault="00071F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>
              <wp:extent cx="5436997" cy="6097"/>
              <wp:effectExtent l="0" t="0" r="0" b="0"/>
              <wp:docPr id="2755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6097"/>
                        <a:chOff x="2627500" y="3776950"/>
                        <a:chExt cx="5437000" cy="9150"/>
                      </a:xfrm>
                    </wpg:grpSpPr>
                    <wpg:grpSp>
                      <wpg:cNvPr id="4" name="Agrupar 4"/>
                      <wpg:cNvGrpSpPr/>
                      <wpg:grpSpPr>
                        <a:xfrm>
                          <a:off x="2627502" y="3776952"/>
                          <a:ext cx="5436997" cy="9144"/>
                          <a:chOff x="0" y="0"/>
                          <a:chExt cx="5436997" cy="9144"/>
                        </a:xfrm>
                      </wpg:grpSpPr>
                      <wps:wsp>
                        <wps:cNvPr id="5" name="Retângulo 5"/>
                        <wps:cNvSpPr/>
                        <wps:spPr>
                          <a:xfrm>
                            <a:off x="0" y="0"/>
                            <a:ext cx="54369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B2F9B" w:rsidRDefault="002B2F9B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" name="Forma Livre: Forma 6"/>
                        <wps:cNvSpPr/>
                        <wps:spPr>
                          <a:xfrm>
                            <a:off x="0" y="0"/>
                            <a:ext cx="54369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36997" h="9144" extrusionOk="0">
                                <a:moveTo>
                                  <a:pt x="0" y="0"/>
                                </a:moveTo>
                                <a:lnTo>
                                  <a:pt x="5436997" y="0"/>
                                </a:lnTo>
                                <a:lnTo>
                                  <a:pt x="5436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_x0000_s1030" style="width:428.1pt;height:.5pt;mso-position-horizontal-relative:char;mso-position-vertical-relative:line" coordorigin="26275,37769" coordsize="5437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">
              <v:group id="Agrupar 4" o:spid="_x0000_s1031" style="position:absolute;left:26275;top:37769;width:54369;height:91" coordsize="5436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tângulo 5" o:spid="_x0000_s1032" style="position:absolute;width:54369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<v:textbox inset="2.53958mm,2.53958mm,2.53958mm,2.53958mm">
                    <w:txbxContent>
                      <w:p w:rsidR="002B2F9B" w:rsidRDefault="002B2F9B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 id="Forma Livre: Forma 6" o:spid="_x0000_s1033" style="position:absolute;width:54369;height:91;visibility:visible;mso-wrap-style:square;v-text-anchor:middle" coordsize="54369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" path="m,l5436997,r,9144l,9144,,e" fillcolor="#bfbfbf" stroked="f">
                  <v:path arrowok="t" o:extrusionok="f"/>
                </v:shape>
              </v:group>
              <w10:anchorlock/>
            </v:group>
          </w:pict>
        </mc:Fallback>
      </mc:AlternateContent>
    </w:r>
  </w:p>
  <w:p w:rsidR="002B2F9B" w:rsidRDefault="00071F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b/>
        <w:sz w:val="16"/>
        <w:szCs w:val="16"/>
      </w:rPr>
      <w:t xml:space="preserve">Av. Ubirajara </w:t>
    </w:r>
    <w:proofErr w:type="spellStart"/>
    <w:r>
      <w:rPr>
        <w:b/>
        <w:sz w:val="16"/>
        <w:szCs w:val="16"/>
      </w:rPr>
      <w:t>Berocan</w:t>
    </w:r>
    <w:proofErr w:type="spellEnd"/>
    <w:r>
      <w:rPr>
        <w:b/>
        <w:sz w:val="16"/>
        <w:szCs w:val="16"/>
      </w:rPr>
      <w:t xml:space="preserve"> Leite, nº 640 Setor Jaó - Goiânia - Goiás - CEP: 74.674-015 </w:t>
    </w:r>
    <w:r>
      <w:rPr>
        <w:b/>
        <w:sz w:val="16"/>
        <w:szCs w:val="16"/>
      </w:rPr>
      <w:tab/>
      <w:t xml:space="preserve">Pág. </w:t>
    </w:r>
  </w:p>
  <w:p w:rsidR="002B2F9B" w:rsidRDefault="00071F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jc w:val="center"/>
      <w:rPr>
        <w:b/>
        <w:sz w:val="16"/>
        <w:szCs w:val="16"/>
      </w:rPr>
    </w:pPr>
    <w:r>
      <w:rPr>
        <w:b/>
        <w:sz w:val="16"/>
        <w:szCs w:val="16"/>
      </w:rPr>
      <w:t>Telefone/PABX: (62) 3228-2000 -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B90" w:rsidRDefault="00071F89">
      <w:pPr>
        <w:spacing w:after="0" w:line="240" w:lineRule="auto"/>
      </w:pPr>
      <w:r>
        <w:separator/>
      </w:r>
    </w:p>
  </w:footnote>
  <w:footnote w:type="continuationSeparator" w:id="0">
    <w:p w:rsidR="00487B90" w:rsidRDefault="0007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F9B" w:rsidRDefault="00071F89">
    <w:pPr>
      <w:spacing w:after="0" w:line="259" w:lineRule="auto"/>
      <w:ind w:left="3452" w:firstLine="0"/>
      <w:jc w:val="left"/>
    </w:pPr>
    <w:r>
      <w:rPr>
        <w:b/>
        <w:sz w:val="24"/>
        <w:szCs w:val="24"/>
      </w:rPr>
      <w:t xml:space="preserve">Tribunal de Contas do Estado de Goiás 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-113078</wp:posOffset>
          </wp:positionH>
          <wp:positionV relativeFrom="paragraph">
            <wp:posOffset>-140507</wp:posOffset>
          </wp:positionV>
          <wp:extent cx="1295400" cy="704088"/>
          <wp:effectExtent l="0" t="0" r="0" b="0"/>
          <wp:wrapSquare wrapText="bothSides" distT="0" distB="0" distL="114300" distR="114300"/>
          <wp:docPr id="275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5400" cy="7040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B2F9B" w:rsidRDefault="00071F89">
    <w:pPr>
      <w:spacing w:after="0" w:line="259" w:lineRule="auto"/>
      <w:ind w:left="2877" w:firstLine="0"/>
      <w:jc w:val="center"/>
    </w:pPr>
    <w:r>
      <w:t xml:space="preserve"> </w:t>
    </w:r>
  </w:p>
  <w:p w:rsidR="002B2F9B" w:rsidRDefault="00071F89" w:rsidP="00071F89">
    <w:pPr>
      <w:pStyle w:val="Ttulo1"/>
      <w:ind w:firstLine="0"/>
      <w:rPr>
        <w:rFonts w:ascii="Times New Roman" w:eastAsia="Times New Roman" w:hAnsi="Times New Roman" w:cs="Times New Roman"/>
      </w:rPr>
    </w:pPr>
    <w:r>
      <w:t>SECRETARIA DE CONTROLE EXTERNO</w:t>
    </w:r>
    <w:r>
      <w:rPr>
        <w:rFonts w:ascii="Times New Roman" w:eastAsia="Times New Roman" w:hAnsi="Times New Roman" w:cs="Times New Roman"/>
      </w:rPr>
      <w:t xml:space="preserve"> </w:t>
    </w:r>
  </w:p>
  <w:p w:rsidR="002B2F9B" w:rsidRDefault="00071F89">
    <w:pPr>
      <w:tabs>
        <w:tab w:val="center" w:pos="1862"/>
        <w:tab w:val="right" w:pos="8788"/>
      </w:tabs>
      <w:spacing w:after="0" w:line="259" w:lineRule="auto"/>
      <w:ind w:left="0" w:right="-216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inline distT="0" distB="0" distL="0" distR="0">
              <wp:extent cx="3941699" cy="6096"/>
              <wp:effectExtent l="0" t="0" r="0" b="0"/>
              <wp:docPr id="2756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41699" cy="6096"/>
                        <a:chOff x="3375150" y="3776950"/>
                        <a:chExt cx="3941700" cy="915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375151" y="3776952"/>
                          <a:ext cx="3941699" cy="9144"/>
                          <a:chOff x="0" y="0"/>
                          <a:chExt cx="3941699" cy="9144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0" y="0"/>
                            <a:ext cx="39416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B2F9B" w:rsidRDefault="002B2F9B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orma Livre: Forma 3"/>
                        <wps:cNvSpPr/>
                        <wps:spPr>
                          <a:xfrm>
                            <a:off x="0" y="0"/>
                            <a:ext cx="394169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41699" h="9144" extrusionOk="0">
                                <a:moveTo>
                                  <a:pt x="0" y="0"/>
                                </a:moveTo>
                                <a:lnTo>
                                  <a:pt x="3941699" y="0"/>
                                </a:lnTo>
                                <a:lnTo>
                                  <a:pt x="39416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_x0000_s1026" style="width:310.35pt;height:.5pt;mso-position-horizontal-relative:char;mso-position-vertical-relative:line" coordorigin="33751,37769" coordsize="3941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">
              <v:group id="Agrupar 1" o:spid="_x0000_s1027" style="position:absolute;left:33751;top:37769;width:39417;height:91" coordsize="39416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ângulo 2" o:spid="_x0000_s1028" style="position:absolute;width:39416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2B2F9B" w:rsidRDefault="002B2F9B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 id="Forma Livre: Forma 3" o:spid="_x0000_s1029" style="position:absolute;width:39416;height:91;visibility:visible;mso-wrap-style:square;v-text-anchor:middle" coordsize="394169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" path="m,l3941699,r,9144l,9144,,e" fillcolor="#bfbfbf" stroked="f">
                  <v:path arrowok="t" o:extrusionok="f"/>
                </v:shape>
              </v:group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9B"/>
    <w:rsid w:val="00071F89"/>
    <w:rsid w:val="002B2F9B"/>
    <w:rsid w:val="00487B90"/>
    <w:rsid w:val="00C2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93D4"/>
  <w15:docId w15:val="{C9B998E8-1B07-4A70-B019-4685FC93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after="11" w:line="267" w:lineRule="auto"/>
        <w:ind w:left="1428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3793"/>
      <w:outlineLvl w:val="0"/>
    </w:pPr>
    <w:rPr>
      <w:color w:val="000000"/>
      <w:sz w:val="20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57D"/>
    <w:rPr>
      <w:rFonts w:ascii="Arial" w:eastAsia="Arial" w:hAnsi="Arial" w:cs="Arial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57D"/>
    <w:rPr>
      <w:rFonts w:ascii="Arial" w:eastAsia="Arial" w:hAnsi="Arial" w:cs="Arial"/>
      <w:color w:val="000000"/>
    </w:rPr>
  </w:style>
  <w:style w:type="character" w:styleId="Hyperlink">
    <w:name w:val="Hyperlink"/>
    <w:basedOn w:val="Fontepargpadro"/>
    <w:uiPriority w:val="99"/>
    <w:unhideWhenUsed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5DA2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oi.tce.go.gov.br/atoNormativo/Publicado?id=16065" TargetMode="External"/><Relationship Id="rId13" Type="http://schemas.openxmlformats.org/officeDocument/2006/relationships/hyperlink" Target="https://gnoi.tce.go.gov.br/atoNormativo/Publicado?id=1850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noi.tce.go.gov.br/atoNormativo/Publicado?id=16065" TargetMode="External"/><Relationship Id="rId12" Type="http://schemas.openxmlformats.org/officeDocument/2006/relationships/hyperlink" Target="https://gnoi.tce.go.gov.br/atoNormativo/Publicado?id=1850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gnoi.tce.go.gov.br/atoNormativo/Publicado?id=1850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ec.tce.go.gov.br/ConsultaDiario/CarregaDocumento?documento=2314020424525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noi.tce.go.gov.br/atoNormativo/Publicado?id=9544" TargetMode="External"/><Relationship Id="rId14" Type="http://schemas.openxmlformats.org/officeDocument/2006/relationships/hyperlink" Target="https://gnoi.tce.go.gov.br/atoNormativo/Publicado?id=1850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1anLgpWgYuvnNpkEWSsFgBaLrQ==">CgMxLjAyCGguZ2pkZ3hzOAByITFuQmFUNHNLVHhoNFlra1QwR1BrcXFLelRPY3FkX3BpbA==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Secretaria de Controle Externo</cp:lastModifiedBy>
  <cp:revision>3</cp:revision>
  <dcterms:created xsi:type="dcterms:W3CDTF">2024-02-28T18:25:00Z</dcterms:created>
  <dcterms:modified xsi:type="dcterms:W3CDTF">2024-04-25T17:38:00Z</dcterms:modified>
</cp:coreProperties>
</file>